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7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7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97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7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7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7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7"/>
        <w:ind w:right="-57"/>
        <w:jc w:val="center"/>
        <w:spacing w:before="120"/>
        <w:tabs>
          <w:tab w:val="left" w:pos="10440" w:leader="none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Красная, 144, Ижевск, 426008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977"/>
        <w:ind w:right="-55"/>
        <w:jc w:val="center"/>
        <w:tabs>
          <w:tab w:val="left" w:pos="10440" w:leader="none"/>
        </w:tabs>
        <w:rPr>
          <w:color w:val="000000"/>
          <w:sz w:val="18"/>
          <w:szCs w:val="18"/>
          <w:lang w:val="en-US"/>
        </w:rPr>
      </w:pPr>
      <w:r>
        <w:rPr>
          <w:sz w:val="18"/>
          <w:szCs w:val="18"/>
        </w:rPr>
        <w:t xml:space="preserve">Тел</w:t>
      </w:r>
      <w:r>
        <w:rPr>
          <w:sz w:val="18"/>
          <w:szCs w:val="18"/>
          <w:lang w:val="en-US"/>
        </w:rPr>
        <w:t xml:space="preserve">.: (3412) </w:t>
      </w:r>
      <w:r>
        <w:rPr>
          <w:sz w:val="18"/>
          <w:szCs w:val="18"/>
          <w:lang w:val="en-US"/>
        </w:rPr>
        <w:t xml:space="preserve">222-688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 xml:space="preserve">e</w:t>
      </w:r>
      <w:r>
        <w:rPr>
          <w:color w:val="000000"/>
          <w:sz w:val="18"/>
          <w:szCs w:val="18"/>
          <w:lang w:val="en-US"/>
        </w:rPr>
        <w:t xml:space="preserve">-</w:t>
      </w:r>
      <w:r>
        <w:rPr>
          <w:color w:val="000000"/>
          <w:sz w:val="18"/>
          <w:szCs w:val="18"/>
          <w:lang w:val="en-US"/>
        </w:rPr>
        <w:t xml:space="preserve">mail</w:t>
      </w:r>
      <w:r>
        <w:rPr>
          <w:color w:val="000000"/>
          <w:sz w:val="18"/>
          <w:szCs w:val="18"/>
          <w:lang w:val="en-US"/>
        </w:rPr>
        <w:t xml:space="preserve">: </w:t>
      </w:r>
      <w:r>
        <w:rPr>
          <w:rFonts w:cs="MS Sans Serif"/>
          <w:color w:val="000000"/>
          <w:lang w:val="en-US"/>
        </w:rPr>
        <w:t xml:space="preserve">mail@mpt.udmr.ru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lang w:val="en-US"/>
        </w:rPr>
        <w:t xml:space="preserve">http://www.mintorg.udmurt.ru</w:t>
      </w:r>
      <w:r>
        <w:rPr>
          <w:color w:val="000000"/>
          <w:sz w:val="18"/>
          <w:szCs w:val="18"/>
          <w:lang w:val="en-US"/>
        </w:rPr>
      </w:r>
      <w:r>
        <w:rPr>
          <w:color w:val="000000"/>
          <w:sz w:val="18"/>
          <w:szCs w:val="18"/>
          <w:lang w:val="en-US"/>
        </w:rPr>
      </w:r>
    </w:p>
    <w:p>
      <w:pPr>
        <w:pStyle w:val="977"/>
        <w:ind w:right="-55"/>
        <w:jc w:val="center"/>
        <w:tabs>
          <w:tab w:val="left" w:pos="1044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ОКПО 29993625 О</w:t>
      </w:r>
      <w:r>
        <w:rPr>
          <w:sz w:val="18"/>
          <w:szCs w:val="18"/>
        </w:rPr>
        <w:t xml:space="preserve">Г</w:t>
      </w:r>
      <w:r>
        <w:rPr>
          <w:sz w:val="18"/>
          <w:szCs w:val="18"/>
        </w:rPr>
        <w:t xml:space="preserve">РН 1151831000463 ИНН/КПП 1841048002/184101001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77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ПРЕСС – РЕЛИЗ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8"/>
        <w:jc w:val="center"/>
        <w:spacing w:before="0" w:beforeAutospacing="0" w:after="0" w:afterAutospacing="0"/>
        <w:shd w:val="clear" w:color="auto" w:fill="ffffff"/>
        <w:rPr>
          <w:rStyle w:val="1029"/>
          <w:b/>
          <w:color w:val="000000"/>
          <w:sz w:val="28"/>
          <w:szCs w:val="28"/>
        </w:rPr>
      </w:pPr>
      <w:r>
        <w:rPr>
          <w:rStyle w:val="1029"/>
          <w:b/>
          <w:color w:val="000000"/>
          <w:sz w:val="28"/>
          <w:szCs w:val="28"/>
        </w:rPr>
        <w:t xml:space="preserve">И</w:t>
      </w:r>
      <w:r>
        <w:rPr>
          <w:rStyle w:val="1029"/>
          <w:b/>
          <w:color w:val="000000"/>
          <w:sz w:val="28"/>
          <w:szCs w:val="28"/>
        </w:rPr>
        <w:t xml:space="preserve">тоги </w:t>
      </w:r>
      <w:r>
        <w:rPr>
          <w:rStyle w:val="1029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29"/>
          <w:b/>
          <w:color w:val="000000"/>
          <w:sz w:val="28"/>
          <w:szCs w:val="28"/>
        </w:rPr>
      </w:r>
      <w:r>
        <w:rPr>
          <w:rStyle w:val="1029"/>
          <w:b/>
          <w:color w:val="000000"/>
          <w:sz w:val="28"/>
          <w:szCs w:val="28"/>
        </w:rPr>
      </w:r>
    </w:p>
    <w:p>
      <w:pPr>
        <w:pStyle w:val="1028"/>
        <w:jc w:val="center"/>
        <w:spacing w:before="0" w:beforeAutospacing="0" w:after="0" w:afterAutospacing="0"/>
        <w:shd w:val="clear" w:color="auto" w:fill="ffffff"/>
        <w:rPr>
          <w:rStyle w:val="1029"/>
          <w:b/>
          <w:color w:val="000000"/>
          <w:sz w:val="28"/>
          <w:szCs w:val="28"/>
        </w:rPr>
      </w:pPr>
      <w:r>
        <w:rPr>
          <w:rStyle w:val="1029"/>
          <w:b/>
          <w:color w:val="000000"/>
          <w:sz w:val="28"/>
          <w:szCs w:val="28"/>
        </w:rPr>
        <w:t xml:space="preserve">за</w:t>
      </w:r>
      <w:r>
        <w:rPr>
          <w:rStyle w:val="1029"/>
          <w:b/>
          <w:color w:val="000000"/>
          <w:sz w:val="28"/>
          <w:szCs w:val="28"/>
        </w:rPr>
        <w:t xml:space="preserve"> </w:t>
      </w:r>
      <w:r>
        <w:rPr>
          <w:rStyle w:val="1029"/>
          <w:b/>
          <w:color w:val="000000"/>
          <w:sz w:val="28"/>
          <w:szCs w:val="28"/>
        </w:rPr>
        <w:t xml:space="preserve">январь-июнь</w:t>
      </w:r>
      <w:r>
        <w:rPr>
          <w:rStyle w:val="1029"/>
          <w:b/>
          <w:color w:val="000000"/>
          <w:sz w:val="28"/>
          <w:szCs w:val="28"/>
        </w:rPr>
        <w:t xml:space="preserve"> </w:t>
      </w:r>
      <w:r>
        <w:rPr>
          <w:rStyle w:val="1029"/>
          <w:b/>
          <w:color w:val="000000"/>
          <w:sz w:val="28"/>
          <w:szCs w:val="28"/>
        </w:rPr>
        <w:t xml:space="preserve">20</w:t>
      </w:r>
      <w:r>
        <w:rPr>
          <w:rStyle w:val="1029"/>
          <w:b/>
          <w:color w:val="000000"/>
          <w:sz w:val="28"/>
          <w:szCs w:val="28"/>
        </w:rPr>
        <w:t xml:space="preserve">2</w:t>
      </w:r>
      <w:r>
        <w:rPr>
          <w:rStyle w:val="1029"/>
          <w:b/>
          <w:color w:val="000000"/>
          <w:sz w:val="28"/>
          <w:szCs w:val="28"/>
        </w:rPr>
        <w:t xml:space="preserve">4</w:t>
      </w:r>
      <w:r>
        <w:rPr>
          <w:rStyle w:val="1029"/>
          <w:b/>
          <w:color w:val="000000"/>
          <w:sz w:val="28"/>
          <w:szCs w:val="28"/>
        </w:rPr>
        <w:t xml:space="preserve"> </w:t>
      </w:r>
      <w:r>
        <w:rPr>
          <w:rStyle w:val="1029"/>
          <w:b/>
          <w:color w:val="000000"/>
          <w:sz w:val="28"/>
          <w:szCs w:val="28"/>
        </w:rPr>
        <w:t xml:space="preserve">год</w:t>
      </w:r>
      <w:r>
        <w:rPr>
          <w:rStyle w:val="1029"/>
          <w:b/>
          <w:color w:val="000000"/>
          <w:sz w:val="28"/>
          <w:szCs w:val="28"/>
        </w:rPr>
        <w:t xml:space="preserve">а</w:t>
      </w:r>
      <w:r>
        <w:rPr>
          <w:rStyle w:val="1029"/>
          <w:b/>
          <w:color w:val="000000"/>
          <w:sz w:val="28"/>
          <w:szCs w:val="28"/>
        </w:rPr>
      </w:r>
      <w:r>
        <w:rPr>
          <w:rStyle w:val="1029"/>
          <w:b/>
          <w:color w:val="000000"/>
          <w:sz w:val="28"/>
          <w:szCs w:val="28"/>
        </w:rPr>
      </w:r>
    </w:p>
    <w:p>
      <w:pPr>
        <w:pStyle w:val="1028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7"/>
          <w:szCs w:val="27"/>
          <w:highlight w:val="yellow"/>
        </w:rPr>
      </w:pPr>
      <w:r>
        <w:rPr>
          <w:b/>
          <w:color w:val="000000"/>
          <w:sz w:val="27"/>
          <w:szCs w:val="27"/>
          <w:highlight w:val="yellow"/>
        </w:rPr>
      </w:r>
      <w:r>
        <w:rPr>
          <w:b/>
          <w:color w:val="000000"/>
          <w:sz w:val="27"/>
          <w:szCs w:val="27"/>
          <w:highlight w:val="yellow"/>
        </w:rPr>
      </w:r>
      <w:r>
        <w:rPr>
          <w:b/>
          <w:color w:val="000000"/>
          <w:sz w:val="27"/>
          <w:szCs w:val="27"/>
          <w:highlight w:val="yellow"/>
        </w:rPr>
      </w:r>
    </w:p>
    <w:p>
      <w:pPr>
        <w:pStyle w:val="977"/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Министерством промышленности и торговли Удмуртской Республики подведены итоги работы промышленных предприятий Удмуртской Республики за </w:t>
      </w:r>
      <w:r>
        <w:rPr>
          <w:sz w:val="28"/>
          <w:szCs w:val="28"/>
          <w:highlight w:val="white"/>
          <w:lang w:eastAsia="ru-RU"/>
        </w:rPr>
        <w:t xml:space="preserve">янва</w:t>
      </w:r>
      <w:r>
        <w:rPr>
          <w:sz w:val="28"/>
          <w:szCs w:val="28"/>
          <w:highlight w:val="white"/>
          <w:lang w:eastAsia="ru-RU"/>
        </w:rPr>
        <w:t xml:space="preserve">рь-июнь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года.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sz w:val="28"/>
          <w:szCs w:val="28"/>
          <w:highlight w:val="white"/>
          <w:lang w:eastAsia="ru-RU"/>
        </w:rPr>
        <w:t xml:space="preserve">за </w:t>
      </w:r>
      <w:r>
        <w:rPr>
          <w:sz w:val="28"/>
          <w:szCs w:val="28"/>
          <w:highlight w:val="white"/>
          <w:lang w:eastAsia="ru-RU"/>
        </w:rPr>
        <w:t xml:space="preserve">январь-</w:t>
      </w:r>
      <w:r>
        <w:rPr>
          <w:sz w:val="28"/>
          <w:szCs w:val="28"/>
          <w:highlight w:val="white"/>
          <w:lang w:eastAsia="ru-RU"/>
        </w:rPr>
        <w:t xml:space="preserve">июнь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года предприятиями республики отгружено товаров (работ, услуг) собственного производства на сумму</w:t>
      </w:r>
      <w:r>
        <w:rPr>
          <w:sz w:val="28"/>
          <w:szCs w:val="28"/>
          <w:highlight w:val="white"/>
          <w:lang w:eastAsia="ru-RU"/>
        </w:rPr>
        <w:t xml:space="preserve"> 5</w:t>
      </w:r>
      <w:r>
        <w:rPr>
          <w:sz w:val="28"/>
          <w:szCs w:val="28"/>
          <w:highlight w:val="white"/>
          <w:lang w:eastAsia="ru-RU"/>
        </w:rPr>
        <w:t xml:space="preserve">72,7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рублей</w:t>
      </w:r>
      <w:r>
        <w:rPr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– 14</w:t>
      </w:r>
      <w:r>
        <w:rPr>
          <w:sz w:val="28"/>
          <w:szCs w:val="28"/>
          <w:highlight w:val="white"/>
          <w:lang w:eastAsia="ru-RU"/>
        </w:rPr>
        <w:t xml:space="preserve">6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3 %.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итогам шести </w:t>
      </w:r>
      <w:r>
        <w:rPr>
          <w:sz w:val="28"/>
          <w:szCs w:val="28"/>
          <w:highlight w:val="white"/>
          <w:lang w:eastAsia="ru-RU"/>
        </w:rPr>
        <w:t xml:space="preserve">месяцев</w:t>
      </w:r>
      <w:r>
        <w:rPr>
          <w:sz w:val="28"/>
          <w:szCs w:val="28"/>
          <w:highlight w:val="white"/>
          <w:lang w:eastAsia="ru-RU"/>
        </w:rPr>
        <w:t xml:space="preserve"> 2024 года Удмуртия по индексу промышленного производства (далее – ИПП) в целом по промышленности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вошла в ТОП-10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110,6</w:t>
      </w:r>
      <w:r>
        <w:rPr>
          <w:sz w:val="28"/>
          <w:szCs w:val="28"/>
          <w:highlight w:val="white"/>
          <w:lang w:eastAsia="ru-RU"/>
        </w:rPr>
        <w:t xml:space="preserve"> %, что выше ИПП Российской Федераци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(</w:t>
      </w:r>
      <w:r>
        <w:rPr>
          <w:sz w:val="28"/>
          <w:szCs w:val="28"/>
          <w:highlight w:val="white"/>
          <w:lang w:eastAsia="ru-RU"/>
        </w:rPr>
        <w:t xml:space="preserve">10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,4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</w:t>
      </w:r>
      <w:r>
        <w:rPr>
          <w:sz w:val="28"/>
          <w:szCs w:val="28"/>
          <w:highlight w:val="white"/>
          <w:lang w:eastAsia="ru-RU"/>
        </w:rPr>
        <w:t xml:space="preserve">316,2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руб., </w:t>
      </w:r>
      <w:r>
        <w:rPr>
          <w:sz w:val="28"/>
          <w:szCs w:val="28"/>
          <w:highlight w:val="white"/>
          <w:lang w:eastAsia="ru-RU"/>
        </w:rPr>
        <w:t xml:space="preserve">темп роста к ана</w:t>
      </w:r>
      <w:r>
        <w:rPr>
          <w:sz w:val="28"/>
          <w:szCs w:val="28"/>
          <w:highlight w:val="white"/>
          <w:lang w:eastAsia="ru-RU"/>
        </w:rPr>
        <w:t xml:space="preserve">логичному периоду прошлого года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137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 </w:t>
      </w:r>
      <w:r>
        <w:rPr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sz w:val="28"/>
          <w:szCs w:val="28"/>
          <w:highlight w:val="white"/>
          <w:lang w:eastAsia="ru-RU"/>
        </w:rPr>
        <w:t xml:space="preserve"> Удмуртия </w:t>
      </w:r>
      <w:r>
        <w:rPr>
          <w:sz w:val="28"/>
          <w:szCs w:val="28"/>
          <w:highlight w:val="white"/>
          <w:lang w:eastAsia="ru-RU"/>
        </w:rPr>
        <w:t xml:space="preserve">занимает 2-е место по отрасли «обрабатывающих производств»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 </w:t>
      </w:r>
      <w:r>
        <w:rPr>
          <w:sz w:val="28"/>
          <w:szCs w:val="28"/>
          <w:highlight w:val="white"/>
          <w:lang w:eastAsia="ru-RU"/>
        </w:rPr>
        <w:t xml:space="preserve">125,7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ИПП выше общероссийского на </w:t>
      </w:r>
      <w:r>
        <w:rPr>
          <w:sz w:val="28"/>
          <w:szCs w:val="28"/>
          <w:highlight w:val="white"/>
          <w:lang w:eastAsia="ru-RU"/>
        </w:rPr>
        <w:t xml:space="preserve">17,7 </w:t>
      </w:r>
      <w:r>
        <w:rPr>
          <w:sz w:val="28"/>
          <w:szCs w:val="28"/>
          <w:highlight w:val="white"/>
          <w:lang w:eastAsia="ru-RU"/>
        </w:rPr>
        <w:t xml:space="preserve">процентных пункта</w:t>
      </w:r>
      <w:r>
        <w:rPr>
          <w:sz w:val="28"/>
          <w:szCs w:val="28"/>
          <w:highlight w:val="white"/>
          <w:lang w:eastAsia="ru-RU"/>
        </w:rPr>
        <w:t xml:space="preserve"> (РФ-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08</w:t>
      </w:r>
      <w:r>
        <w:rPr>
          <w:sz w:val="28"/>
          <w:szCs w:val="28"/>
          <w:highlight w:val="white"/>
          <w:lang w:eastAsia="ru-RU"/>
        </w:rPr>
        <w:t xml:space="preserve"> %).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Доля отрасли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 в общем</w:t>
      </w:r>
      <w:r>
        <w:rPr>
          <w:sz w:val="28"/>
          <w:szCs w:val="28"/>
          <w:highlight w:val="white"/>
          <w:lang w:eastAsia="ru-RU"/>
        </w:rPr>
        <w:t xml:space="preserve"> объеме производства состав</w:t>
      </w:r>
      <w:r>
        <w:rPr>
          <w:sz w:val="28"/>
          <w:szCs w:val="28"/>
          <w:highlight w:val="white"/>
          <w:lang w:eastAsia="ru-RU"/>
        </w:rPr>
        <w:t xml:space="preserve">ила </w:t>
      </w:r>
      <w:r>
        <w:rPr>
          <w:sz w:val="28"/>
          <w:szCs w:val="28"/>
          <w:highlight w:val="white"/>
          <w:lang w:eastAsia="ru-RU"/>
        </w:rPr>
        <w:t xml:space="preserve">5</w:t>
      </w:r>
      <w:r>
        <w:rPr>
          <w:sz w:val="28"/>
          <w:szCs w:val="28"/>
          <w:highlight w:val="white"/>
          <w:lang w:eastAsia="ru-RU"/>
        </w:rPr>
        <w:t xml:space="preserve">5,2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7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электрического оборудования – 121,6 %;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машин и оборудования, не включенных в другие группировки – 113,9 %;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прочих готовых изделий – 120,2 %;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готовых металлических изделий – 126,3 %;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компьютеров, электронных и оптических изделий – 165,4 %;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прочих транспортных средств и оборудования – в 2,2 раза;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ремонт и монтаж машин и оборудования – 132,9 %.</w:t>
      </w:r>
      <w:r>
        <w:rPr>
          <w:highlight w:val="white"/>
        </w:rPr>
      </w:r>
      <w:r>
        <w:rPr>
          <w:highlight w:val="white"/>
        </w:rPr>
      </w:r>
    </w:p>
    <w:p>
      <w:pPr>
        <w:ind w:left="0" w:firstLine="72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Помимо машиностроительного комплекса с положительными результатами закончили квартал такие отрасли как: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одежды – 116,1 %;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мебели – 111,8 %;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обработка древесины и производство изделий из дерева и пробки, кроме мебели, производство изделий из соломки и материалов для плетения – 101,7 %;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бумаги и бумажных изделий – 108,6  %;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химических веществ и химических продуктов – в 5 раз;</w:t>
      </w:r>
      <w:r>
        <w:rPr>
          <w:highlight w:val="white"/>
        </w:rPr>
      </w:r>
      <w:r>
        <w:rPr>
          <w:highlight w:val="white"/>
        </w:rPr>
      </w:r>
    </w:p>
    <w:p>
      <w:pPr>
        <w:pStyle w:val="820"/>
        <w:numPr>
          <w:ilvl w:val="0"/>
          <w:numId w:val="45"/>
        </w:numPr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производство лекарственных средств и материалов, применяемых в медицинских целях – в 13,6 раз;</w:t>
      </w:r>
      <w:r>
        <w:rPr>
          <w:highlight w:val="white"/>
        </w:rPr>
      </w:r>
      <w:r>
        <w:rPr>
          <w:highlight w:val="white"/>
        </w:rPr>
      </w:r>
    </w:p>
    <w:p>
      <w:pPr>
        <w:pStyle w:val="977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sz w:val="28"/>
          <w:szCs w:val="28"/>
          <w:highlight w:val="white"/>
          <w:lang w:eastAsia="ru-RU"/>
        </w:rPr>
        <w:t xml:space="preserve"> высоким показателям по итогам </w:t>
      </w:r>
      <w:r>
        <w:rPr>
          <w:sz w:val="28"/>
          <w:szCs w:val="28"/>
          <w:highlight w:val="white"/>
          <w:lang w:eastAsia="ru-RU"/>
        </w:rPr>
        <w:t xml:space="preserve">шести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месяц</w:t>
      </w:r>
      <w:r>
        <w:rPr>
          <w:sz w:val="28"/>
          <w:szCs w:val="28"/>
          <w:highlight w:val="white"/>
          <w:lang w:eastAsia="ru-RU"/>
        </w:rPr>
        <w:t xml:space="preserve">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77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ПАО «Ижнефтемаш»,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ООО «ЛАДА Ижевский Автомобильный Завод», </w:t>
      </w:r>
      <w:r>
        <w:rPr>
          <w:color w:val="000000"/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«Элеконд», АО «СЭГЗ», ООО</w:t>
      </w:r>
      <w:r>
        <w:rPr>
          <w:sz w:val="28"/>
          <w:szCs w:val="28"/>
          <w:highlight w:val="white"/>
          <w:lang w:eastAsia="ru-RU"/>
        </w:rPr>
        <w:t xml:space="preserve"> «ИОМЗ»,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«Воткинский 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</w:t>
      </w:r>
      <w:r>
        <w:rPr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«Ижевский механический завод», </w:t>
      </w:r>
      <w:r>
        <w:rPr>
          <w:sz w:val="28"/>
          <w:szCs w:val="28"/>
          <w:highlight w:val="white"/>
          <w:lang w:eastAsia="ru-RU"/>
        </w:rPr>
        <w:t xml:space="preserve">АО «Концерн «Калашников»,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 «ЧМЗ», ООО «Завод Буммаш», </w:t>
      </w:r>
      <w:r>
        <w:rPr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</w:t>
      </w:r>
      <w:r>
        <w:rPr>
          <w:sz w:val="28"/>
          <w:szCs w:val="28"/>
          <w:highlight w:val="white"/>
          <w:lang w:eastAsia="ru-RU"/>
        </w:rPr>
        <w:t xml:space="preserve">ИЭМЗ «Купол», </w:t>
      </w:r>
      <w:r>
        <w:rPr>
          <w:sz w:val="28"/>
          <w:szCs w:val="28"/>
          <w:highlight w:val="white"/>
          <w:lang w:eastAsia="ru-RU"/>
        </w:rPr>
        <w:t xml:space="preserve">АО «Ижевский радиозавод»,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                              </w:t>
      </w:r>
      <w:r>
        <w:rPr>
          <w:sz w:val="28"/>
          <w:szCs w:val="28"/>
          <w:highlight w:val="white"/>
          <w:lang w:eastAsia="ru-RU"/>
        </w:rPr>
        <w:t xml:space="preserve">ООО «М</w:t>
      </w:r>
      <w:r>
        <w:rPr>
          <w:sz w:val="28"/>
          <w:szCs w:val="28"/>
          <w:highlight w:val="white"/>
          <w:lang w:eastAsia="ru-RU"/>
        </w:rPr>
        <w:t xml:space="preserve">ашиностроительный комплекс ЧМЗ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sz w:val="28"/>
          <w:szCs w:val="28"/>
          <w:highlight w:val="white"/>
          <w:lang w:eastAsia="ru-RU"/>
        </w:rPr>
        <w:t xml:space="preserve">                      </w:t>
      </w:r>
      <w:r>
        <w:rPr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sz w:val="28"/>
          <w:szCs w:val="28"/>
          <w:highlight w:val="white"/>
          <w:lang w:eastAsia="ru-RU"/>
        </w:rPr>
        <w:t xml:space="preserve">ООО «Новый дом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 ЗАО «Можхим», </w:t>
      </w:r>
      <w:r>
        <w:rPr>
          <w:sz w:val="28"/>
          <w:szCs w:val="28"/>
          <w:highlight w:val="white"/>
          <w:lang w:eastAsia="ru-RU"/>
        </w:rPr>
        <w:t xml:space="preserve">АО «КБЭ ХХI века</w:t>
      </w:r>
      <w:r>
        <w:rPr>
          <w:sz w:val="28"/>
          <w:szCs w:val="28"/>
          <w:highlight w:val="white"/>
          <w:lang w:eastAsia="ru-RU"/>
        </w:rPr>
        <w:t xml:space="preserve">», </w:t>
      </w:r>
      <w:r>
        <w:rPr>
          <w:sz w:val="28"/>
          <w:szCs w:val="28"/>
          <w:highlight w:val="white"/>
          <w:lang w:eastAsia="ru-RU"/>
        </w:rPr>
        <w:t xml:space="preserve">АО «Свет»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77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  <w:lang w:eastAsia="ru-RU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77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Добыча полезных ископаемых в общем объеме производства составила 39,4 %, объем отгруженных товаров отрасли составил 225,4 млрд. рублей, темп роста к соответствующему периоду 2023 года – 174,4%.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Индекс промышленного производства (ИПП) по добыче полезных ископаемых в Удмуртской Республике составил 97,4 %. По «Добыче полезных ископаемых» Удмуртская Республика на 7 месте в ПФО.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Секретное оружие Удмуртии: приложение, которое может изменить жизнь пациентов с Альцгеймером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  <w:t xml:space="preserve">История виртуальной реальности (VR) началась в 1832 году, когда Чарльз Уитстон изобрел стереоскоп, позволивший зрителю впервые увидеть 3D-объект.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  <w:t xml:space="preserve">В Удмуртской Республике проектная группа из слушателей и преподавателей академии «Калашников» создала MVP* VR-приложение для ранней диагностики и реабилитации болезни Альцгеймера. </w:t>
      </w:r>
      <w:r>
        <w:rPr>
          <w:color w:val="000000"/>
          <w:sz w:val="28"/>
          <w:szCs w:val="28"/>
          <w:highlight w:val="white"/>
        </w:rPr>
        <w:t xml:space="preserve">Приложение включает задания на проверку памяти и ориентации в пространстве. Пользователь выполняет бытовые действия, ориентируясь на карту и список задач. Результаты анализируются для прогнозирования состояния и оценки риска развития болезни Альцгеймера. </w:t>
      </w:r>
      <w:r>
        <w:rPr>
          <w:color w:val="000000"/>
          <w:sz w:val="28"/>
          <w:szCs w:val="28"/>
          <w:highlight w:val="white"/>
        </w:rPr>
        <w:t xml:space="preserve">VR-приложение для ранней диагностики и реабилитации болезни Альцгеймера – это шаг вперед в борьбе с заболеванием, который открывает новые возможности для улучшения здоровья и качества жизни людей.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white"/>
        </w:rPr>
        <w:t xml:space="preserve">АО «Концерн «Калашников» продолжает наращивать производственные мощности, расширяя линейную не только военной, но и гражданской продукции.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Модернизация производства ООО «ЗАВОД-РЕДУКТОР»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Единственное предприятие в России по производству всех видов и типов промышленных редукторов – ООО «ЗАВОД-РЕДУКТОР».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рамках визита ознакомились с производственными мощностями предприятия, цехами и выпускаемой продукцией. Обсудили вопрос государственных мер поддержки, которые будут направлены на реорганизацию производства.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На сегодняшний день ООО «ЗАВОД-РЕДУКТОР» значительно увеличило мощности во всех направлениях производства редукторов. Основная задача предприятия – модернизация производства и его рационализация.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124 года истории АО «Сарапульского радиозавода»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АО «Сарапульский радиозавод» основан в 1900 году в Санкт-Петербурге как филиал фирмы «Карл Лоренц». В 1918 году завод был перенесен в Москву и переименован в «Мосэлектрик», на котором стали выпускать средства связи для Красной армии.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 1941 году завод эвакуировали в Сарапул, где он начал выпускать радиополукомпасы «Чайка» и «Чаёнок» и радиостанции «Тапир» для танка «Т-34», а с 1944 года – танковую радиостанцию «Тур».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После окончания Великой Отечественной войны завод перешел на массовый выпуск гражданской продукции, включая радиолы «Комета» и «Италмас», радиоприемники «Космос» и «Рубин», «Орлёнок», «Урал-авто-2», пользовавшихся большим спросом не только в СССР, но и за</w:t>
      </w:r>
      <w:r>
        <w:rPr>
          <w:color w:val="000000"/>
          <w:sz w:val="28"/>
          <w:szCs w:val="28"/>
          <w:highlight w:val="none"/>
        </w:rPr>
        <w:t xml:space="preserve"> рубежом.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Сегодня завод –  стратегически важное предприятие для радиоэлектроники и оборонно-промышленного комплекса России, производит радиостанции для бронетехники и разрабатывает современные комплексы управления и связи.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Сарапульский радиозавод осваивает выпуск новой продукции в области гражданской техники и аппаратуры двойного назначения, а также является участником национального проекта «Производительность труда».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Новая производственная площадка запущена!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Открыт промышленный технопарк «Русклимат ИКСЭл - Сарапул», а это значит, что в Удмуртии появилось более 17 тыс. кв. метров новых площадей для быстрого начала производства и более 400 рабочих мест.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Предприятия-резиденты, расположенные в корпусе технопарка, производят: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20"/>
        <w:numPr>
          <w:ilvl w:val="0"/>
          <w:numId w:val="54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тепловую технику и комплектующие, которым нет аналогов в мире;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20"/>
        <w:numPr>
          <w:ilvl w:val="0"/>
          <w:numId w:val="54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станции для зарядки электротранспорта для размещения дома и для общественных пространств;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20"/>
        <w:numPr>
          <w:ilvl w:val="0"/>
          <w:numId w:val="54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инфракрасные системы отопления;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20"/>
        <w:numPr>
          <w:ilvl w:val="0"/>
          <w:numId w:val="54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изделия из нержавеющей трубы и латунного прутка.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Удмуртия на выставке-форуме «Россия»: итоги и достижения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Завершилась выставка-форум «Россия» в Москве на ВДНХ, в которой приняло участие 89 регионов страны, в том числе и Удмуртская Республика, презентовавшая стенд «Мы из Удмуртии».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Участники: в подготовке экспозиции республики участвовали более 300 человек. Удмуртия стала одним из немногих регионов, на стенде которого работали сами жители республики, знающие ее историю и культуру.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Посетители: Стенд Удмуртии посетили более 1 млн гостей из разных регионов страны и из-за рубежа, в среднем около 5 тыс. человек ежедневно.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️Мастер-классы: ежедневно  для гостей выставки проводились мастер-классы по плетению браслетов-оберегов, созданию кукол-закруток и фетровых брошей, изготовлению стилизованных удмуртских монисто, росписи открыток. Всего прошло более 200 занятий.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Выступления: каждые выходные на стенде выступали исполнители из Удмуртии – инструменталисты, вокалисты, творческие коллективы.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Крупные мероприятия: 5 декабря 2023 года Удмуртия организовала День региона, 9 июля 2024 года национальный удмуртский праздник Гербер, а также приняла участие в фестивале «Будущее в цветах».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Дом российской кухни: республика представила традиционные блюда - перепечи. Посетители ВДНХ съели 100 тысяч перепечей и выпили 200 тысяч стаканов травяного удмуртского чая.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Интерактивы стенда: на цифровых экранах гости могли на время собрать и разобрать АК-12, угадать мелодии Чайковского, поучаствовать в онлайн-биатлоне, выучить несколько фраз на удмуртском языке.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Гордость Удмуртии: легендарный мотоцикл ИЖ-49 стал самым ностальгирующим экспонатом, вызвав у старшего поколения воспоминания и эмоции.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Выставка-форум «Россия» стала значимым событием, позволившим Удмуртии продемонстрировать свои достижения и привлечь внимание к региону.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Подшефный район: инвестиции в развитие и процветание Камбарского района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Открытие нового железнодорожного пути на территории портового комплекса АО «Порт Камбарка» стало настоящим прорывом для транспортной инфраструктуры региона. В ходе торжественного события было отправлен</w:t>
      </w:r>
      <w:r>
        <w:rPr>
          <w:color w:val="000000"/>
          <w:sz w:val="28"/>
          <w:szCs w:val="28"/>
          <w:highlight w:val="none"/>
        </w:rPr>
        <w:t xml:space="preserve">о 2000 тонн технических солей, что ознаменовало начало новой эры в развитии нашего порта.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Развитие перевалочного пункта ЖД АО «Порт Камбарка» открывает новые возможности для региона: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✔️упрощение логистических цепочек, что позволит сэкономить топливные ресурсы и облегчить перевалку груза;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✔️создание новых рабочих мест;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✔️повышение предпринимательской активности.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ООО «Факел» одним из первых предприятий региона отгрузил более 4000 тонн кварцевого песка для стекольной промышленности через АО «Порт Камбарка».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Открытие новых железнодорожных путей в портовом комплексе АО «Порт Камбарка» – огромный шаг на пути к процветанию не только Камбарского района, но и всей Удмуртской Республики. Данный проект станет станет важным этапом в развитии новых логистических маршр</w:t>
      </w:r>
      <w:r>
        <w:rPr>
          <w:color w:val="000000"/>
          <w:sz w:val="28"/>
          <w:szCs w:val="28"/>
          <w:highlight w:val="none"/>
        </w:rPr>
        <w:t xml:space="preserve">утов.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Филиал «Экотехнопарк «Камбарка» – новая эра экологических инноваций!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 Экотехнопарке «Камбарка» полным с ходом ведутся строительные работы. В корпусе термического обезвреживания кипит работа по монтажу технологического оборудования установки термического об</w:t>
      </w:r>
      <w:r>
        <w:rPr>
          <w:color w:val="000000"/>
          <w:sz w:val="28"/>
          <w:szCs w:val="28"/>
          <w:highlight w:val="none"/>
        </w:rPr>
        <w:t xml:space="preserve">езвреживания.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Термическое обезвреживание отходов – это процесс обработки отходов при высоких температурах с целью уничтожения опасных и токсичных веществ. </w:t>
      </w:r>
      <w:r>
        <w:rPr>
          <w:color w:val="000000"/>
          <w:sz w:val="28"/>
          <w:szCs w:val="28"/>
          <w:highlight w:val="none"/>
        </w:rPr>
        <w:t xml:space="preserve">Система контроля за работой на объекте соответствует самым высоким мировым требованиям и стандарта, собственно как и всё, что находится в периметре деятельности компании РОСАТОМ.</w:t>
      </w:r>
      <w:r>
        <w:rPr>
          <w:color w:val="000000"/>
          <w:sz w:val="28"/>
          <w:szCs w:val="28"/>
          <w:highlight w:val="none"/>
        </w:rPr>
      </w:r>
      <w:r/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Lucida Sans Unicode">
    <w:panose1 w:val="020B0603030804020204"/>
  </w:font>
  <w:font w:name="Tahoma">
    <w:panose1 w:val="020B060603050402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4"/>
      <w:rPr>
        <w:rStyle w:val="1022"/>
      </w:rPr>
      <w:framePr w:wrap="around" w:vAnchor="text" w:hAnchor="margin" w:xAlign="right" w:y="1"/>
    </w:pPr>
    <w:r>
      <w:rPr>
        <w:rStyle w:val="1022"/>
      </w:rPr>
      <w:fldChar w:fldCharType="begin"/>
    </w:r>
    <w:r>
      <w:rPr>
        <w:rStyle w:val="1022"/>
      </w:rPr>
      <w:instrText xml:space="preserve">PAGE  </w:instrText>
    </w:r>
    <w:r>
      <w:rPr>
        <w:rStyle w:val="1022"/>
      </w:rPr>
      <w:fldChar w:fldCharType="separate"/>
    </w:r>
    <w:r>
      <w:rPr>
        <w:rStyle w:val="1022"/>
      </w:rPr>
      <w:t xml:space="preserve">5</w:t>
    </w:r>
    <w:r>
      <w:rPr>
        <w:rStyle w:val="1022"/>
      </w:rPr>
      <w:fldChar w:fldCharType="end"/>
    </w:r>
    <w:r>
      <w:rPr>
        <w:rStyle w:val="1022"/>
      </w:rPr>
    </w:r>
    <w:r>
      <w:rPr>
        <w:rStyle w:val="1022"/>
      </w:rPr>
    </w:r>
  </w:p>
  <w:p>
    <w:pPr>
      <w:pStyle w:val="101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977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2">
    <w:name w:val="Heading 1"/>
    <w:basedOn w:val="977"/>
    <w:next w:val="977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3">
    <w:name w:val="Heading 1 Char"/>
    <w:link w:val="802"/>
    <w:uiPriority w:val="9"/>
    <w:rPr>
      <w:rFonts w:ascii="Arial" w:hAnsi="Arial" w:eastAsia="Arial" w:cs="Arial"/>
      <w:sz w:val="40"/>
      <w:szCs w:val="40"/>
    </w:rPr>
  </w:style>
  <w:style w:type="paragraph" w:styleId="804">
    <w:name w:val="Heading 2"/>
    <w:basedOn w:val="977"/>
    <w:next w:val="977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5">
    <w:name w:val="Heading 2 Char"/>
    <w:link w:val="804"/>
    <w:uiPriority w:val="9"/>
    <w:rPr>
      <w:rFonts w:ascii="Arial" w:hAnsi="Arial" w:eastAsia="Arial" w:cs="Arial"/>
      <w:sz w:val="34"/>
    </w:rPr>
  </w:style>
  <w:style w:type="paragraph" w:styleId="806">
    <w:name w:val="Heading 3"/>
    <w:basedOn w:val="977"/>
    <w:next w:val="977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7">
    <w:name w:val="Heading 3 Char"/>
    <w:link w:val="806"/>
    <w:uiPriority w:val="9"/>
    <w:rPr>
      <w:rFonts w:ascii="Arial" w:hAnsi="Arial" w:eastAsia="Arial" w:cs="Arial"/>
      <w:sz w:val="30"/>
      <w:szCs w:val="30"/>
    </w:rPr>
  </w:style>
  <w:style w:type="paragraph" w:styleId="808">
    <w:name w:val="Heading 4"/>
    <w:basedOn w:val="977"/>
    <w:next w:val="977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9">
    <w:name w:val="Heading 4 Char"/>
    <w:link w:val="808"/>
    <w:uiPriority w:val="9"/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977"/>
    <w:next w:val="977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1">
    <w:name w:val="Heading 5 Char"/>
    <w:link w:val="810"/>
    <w:uiPriority w:val="9"/>
    <w:rPr>
      <w:rFonts w:ascii="Arial" w:hAnsi="Arial" w:eastAsia="Arial" w:cs="Arial"/>
      <w:b/>
      <w:bCs/>
      <w:sz w:val="24"/>
      <w:szCs w:val="24"/>
    </w:rPr>
  </w:style>
  <w:style w:type="paragraph" w:styleId="812">
    <w:name w:val="Heading 6"/>
    <w:basedOn w:val="977"/>
    <w:next w:val="977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3">
    <w:name w:val="Heading 6 Char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>
    <w:name w:val="Heading 7"/>
    <w:basedOn w:val="977"/>
    <w:next w:val="977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5">
    <w:name w:val="Heading 7 Char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>
    <w:name w:val="Heading 8"/>
    <w:basedOn w:val="977"/>
    <w:next w:val="977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7">
    <w:name w:val="Heading 8 Char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>
    <w:name w:val="Heading 9"/>
    <w:basedOn w:val="977"/>
    <w:next w:val="977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>
    <w:name w:val="Heading 9 Char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List Paragraph"/>
    <w:basedOn w:val="977"/>
    <w:uiPriority w:val="34"/>
    <w:qFormat/>
    <w:pPr>
      <w:contextualSpacing/>
      <w:ind w:left="720"/>
    </w:pPr>
  </w:style>
  <w:style w:type="paragraph" w:styleId="821">
    <w:name w:val="No Spacing"/>
    <w:uiPriority w:val="1"/>
    <w:qFormat/>
    <w:pPr>
      <w:spacing w:before="0" w:after="0" w:line="240" w:lineRule="auto"/>
    </w:pPr>
  </w:style>
  <w:style w:type="character" w:styleId="822">
    <w:name w:val="Title Char"/>
    <w:link w:val="1051"/>
    <w:uiPriority w:val="10"/>
    <w:rPr>
      <w:sz w:val="48"/>
      <w:szCs w:val="48"/>
    </w:rPr>
  </w:style>
  <w:style w:type="paragraph" w:styleId="823">
    <w:name w:val="Subtitle"/>
    <w:basedOn w:val="977"/>
    <w:next w:val="977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>
    <w:name w:val="Subtitle Char"/>
    <w:link w:val="823"/>
    <w:uiPriority w:val="11"/>
    <w:rPr>
      <w:sz w:val="24"/>
      <w:szCs w:val="24"/>
    </w:rPr>
  </w:style>
  <w:style w:type="paragraph" w:styleId="825">
    <w:name w:val="Quote"/>
    <w:basedOn w:val="977"/>
    <w:next w:val="977"/>
    <w:link w:val="826"/>
    <w:uiPriority w:val="29"/>
    <w:qFormat/>
    <w:pPr>
      <w:ind w:left="720" w:right="720"/>
    </w:pPr>
    <w:rPr>
      <w:i/>
    </w:rPr>
  </w:style>
  <w:style w:type="character" w:styleId="826">
    <w:name w:val="Quote Char"/>
    <w:link w:val="825"/>
    <w:uiPriority w:val="29"/>
    <w:rPr>
      <w:i/>
    </w:rPr>
  </w:style>
  <w:style w:type="paragraph" w:styleId="827">
    <w:name w:val="Intense Quote"/>
    <w:basedOn w:val="977"/>
    <w:next w:val="977"/>
    <w:link w:val="8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>
    <w:name w:val="Intense Quote Char"/>
    <w:link w:val="827"/>
    <w:uiPriority w:val="30"/>
    <w:rPr>
      <w:i/>
    </w:rPr>
  </w:style>
  <w:style w:type="character" w:styleId="829">
    <w:name w:val="Header Char"/>
    <w:link w:val="1050"/>
    <w:uiPriority w:val="99"/>
  </w:style>
  <w:style w:type="paragraph" w:styleId="830">
    <w:name w:val="Footer"/>
    <w:basedOn w:val="977"/>
    <w:link w:val="8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>
    <w:name w:val="Footer Char"/>
    <w:link w:val="830"/>
    <w:uiPriority w:val="99"/>
  </w:style>
  <w:style w:type="character" w:styleId="832">
    <w:name w:val="Caption Char"/>
    <w:basedOn w:val="1055"/>
    <w:link w:val="830"/>
    <w:uiPriority w:val="99"/>
  </w:style>
  <w:style w:type="table" w:styleId="83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9">
    <w:name w:val="Hyperlink"/>
    <w:uiPriority w:val="99"/>
    <w:unhideWhenUsed/>
    <w:rPr>
      <w:color w:val="0000ff" w:themeColor="hyperlink"/>
      <w:u w:val="single"/>
    </w:rPr>
  </w:style>
  <w:style w:type="paragraph" w:styleId="960">
    <w:name w:val="footnote text"/>
    <w:basedOn w:val="977"/>
    <w:link w:val="961"/>
    <w:uiPriority w:val="99"/>
    <w:semiHidden/>
    <w:unhideWhenUsed/>
    <w:pPr>
      <w:spacing w:after="40" w:line="240" w:lineRule="auto"/>
    </w:pPr>
    <w:rPr>
      <w:sz w:val="18"/>
    </w:rPr>
  </w:style>
  <w:style w:type="character" w:styleId="961">
    <w:name w:val="Footnote Text Char"/>
    <w:link w:val="960"/>
    <w:uiPriority w:val="99"/>
    <w:rPr>
      <w:sz w:val="18"/>
    </w:rPr>
  </w:style>
  <w:style w:type="character" w:styleId="962">
    <w:name w:val="footnote reference"/>
    <w:uiPriority w:val="99"/>
    <w:unhideWhenUsed/>
    <w:rPr>
      <w:vertAlign w:val="superscript"/>
    </w:rPr>
  </w:style>
  <w:style w:type="paragraph" w:styleId="963">
    <w:name w:val="endnote text"/>
    <w:basedOn w:val="977"/>
    <w:link w:val="964"/>
    <w:uiPriority w:val="99"/>
    <w:semiHidden/>
    <w:unhideWhenUsed/>
    <w:pPr>
      <w:spacing w:after="0" w:line="240" w:lineRule="auto"/>
    </w:pPr>
    <w:rPr>
      <w:sz w:val="20"/>
    </w:rPr>
  </w:style>
  <w:style w:type="character" w:styleId="964">
    <w:name w:val="Endnote Text Char"/>
    <w:link w:val="963"/>
    <w:uiPriority w:val="99"/>
    <w:rPr>
      <w:sz w:val="20"/>
    </w:rPr>
  </w:style>
  <w:style w:type="character" w:styleId="965">
    <w:name w:val="endnote reference"/>
    <w:uiPriority w:val="99"/>
    <w:semiHidden/>
    <w:unhideWhenUsed/>
    <w:rPr>
      <w:vertAlign w:val="superscript"/>
    </w:rPr>
  </w:style>
  <w:style w:type="paragraph" w:styleId="966">
    <w:name w:val="toc 1"/>
    <w:basedOn w:val="977"/>
    <w:next w:val="977"/>
    <w:uiPriority w:val="39"/>
    <w:unhideWhenUsed/>
    <w:pPr>
      <w:ind w:left="0" w:right="0" w:firstLine="0"/>
      <w:spacing w:after="57"/>
    </w:pPr>
  </w:style>
  <w:style w:type="paragraph" w:styleId="967">
    <w:name w:val="toc 2"/>
    <w:basedOn w:val="977"/>
    <w:next w:val="977"/>
    <w:uiPriority w:val="39"/>
    <w:unhideWhenUsed/>
    <w:pPr>
      <w:ind w:left="283" w:right="0" w:firstLine="0"/>
      <w:spacing w:after="57"/>
    </w:pPr>
  </w:style>
  <w:style w:type="paragraph" w:styleId="968">
    <w:name w:val="toc 3"/>
    <w:basedOn w:val="977"/>
    <w:next w:val="977"/>
    <w:uiPriority w:val="39"/>
    <w:unhideWhenUsed/>
    <w:pPr>
      <w:ind w:left="567" w:right="0" w:firstLine="0"/>
      <w:spacing w:after="57"/>
    </w:pPr>
  </w:style>
  <w:style w:type="paragraph" w:styleId="969">
    <w:name w:val="toc 4"/>
    <w:basedOn w:val="977"/>
    <w:next w:val="977"/>
    <w:uiPriority w:val="39"/>
    <w:unhideWhenUsed/>
    <w:pPr>
      <w:ind w:left="850" w:right="0" w:firstLine="0"/>
      <w:spacing w:after="57"/>
    </w:pPr>
  </w:style>
  <w:style w:type="paragraph" w:styleId="970">
    <w:name w:val="toc 5"/>
    <w:basedOn w:val="977"/>
    <w:next w:val="977"/>
    <w:uiPriority w:val="39"/>
    <w:unhideWhenUsed/>
    <w:pPr>
      <w:ind w:left="1134" w:right="0" w:firstLine="0"/>
      <w:spacing w:after="57"/>
    </w:pPr>
  </w:style>
  <w:style w:type="paragraph" w:styleId="971">
    <w:name w:val="toc 6"/>
    <w:basedOn w:val="977"/>
    <w:next w:val="977"/>
    <w:uiPriority w:val="39"/>
    <w:unhideWhenUsed/>
    <w:pPr>
      <w:ind w:left="1417" w:right="0" w:firstLine="0"/>
      <w:spacing w:after="57"/>
    </w:pPr>
  </w:style>
  <w:style w:type="paragraph" w:styleId="972">
    <w:name w:val="toc 7"/>
    <w:basedOn w:val="977"/>
    <w:next w:val="977"/>
    <w:uiPriority w:val="39"/>
    <w:unhideWhenUsed/>
    <w:pPr>
      <w:ind w:left="1701" w:right="0" w:firstLine="0"/>
      <w:spacing w:after="57"/>
    </w:pPr>
  </w:style>
  <w:style w:type="paragraph" w:styleId="973">
    <w:name w:val="toc 8"/>
    <w:basedOn w:val="977"/>
    <w:next w:val="977"/>
    <w:uiPriority w:val="39"/>
    <w:unhideWhenUsed/>
    <w:pPr>
      <w:ind w:left="1984" w:right="0" w:firstLine="0"/>
      <w:spacing w:after="57"/>
    </w:pPr>
  </w:style>
  <w:style w:type="paragraph" w:styleId="974">
    <w:name w:val="toc 9"/>
    <w:basedOn w:val="977"/>
    <w:next w:val="977"/>
    <w:uiPriority w:val="39"/>
    <w:unhideWhenUsed/>
    <w:pPr>
      <w:ind w:left="2268" w:right="0" w:firstLine="0"/>
      <w:spacing w:after="57"/>
    </w:pPr>
  </w:style>
  <w:style w:type="paragraph" w:styleId="975">
    <w:name w:val="TOC Heading"/>
    <w:uiPriority w:val="39"/>
    <w:unhideWhenUsed/>
  </w:style>
  <w:style w:type="paragraph" w:styleId="976">
    <w:name w:val="table of figures"/>
    <w:basedOn w:val="977"/>
    <w:next w:val="977"/>
    <w:uiPriority w:val="99"/>
    <w:unhideWhenUsed/>
    <w:pPr>
      <w:spacing w:after="0" w:afterAutospacing="0"/>
    </w:pPr>
  </w:style>
  <w:style w:type="paragraph" w:styleId="977" w:default="1">
    <w:name w:val="Normal"/>
    <w:next w:val="977"/>
    <w:link w:val="977"/>
    <w:qFormat/>
    <w:rPr>
      <w:lang w:val="ru-RU" w:eastAsia="ar-SA" w:bidi="ar-SA"/>
    </w:rPr>
  </w:style>
  <w:style w:type="paragraph" w:styleId="978">
    <w:name w:val="Заголовок 1"/>
    <w:basedOn w:val="977"/>
    <w:next w:val="977"/>
    <w:link w:val="1045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79">
    <w:name w:val="Заголовок 2"/>
    <w:basedOn w:val="977"/>
    <w:next w:val="979"/>
    <w:link w:val="104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980">
    <w:name w:val="Заголовок 3"/>
    <w:basedOn w:val="977"/>
    <w:next w:val="977"/>
    <w:link w:val="1048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981">
    <w:name w:val="Заголовок 4"/>
    <w:basedOn w:val="977"/>
    <w:next w:val="977"/>
    <w:link w:val="1047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982">
    <w:name w:val="Основной шрифт абзаца"/>
    <w:next w:val="982"/>
    <w:link w:val="977"/>
    <w:semiHidden/>
  </w:style>
  <w:style w:type="table" w:styleId="983">
    <w:name w:val="Обычная таблица"/>
    <w:next w:val="983"/>
    <w:link w:val="977"/>
    <w:uiPriority w:val="99"/>
    <w:semiHidden/>
    <w:unhideWhenUsed/>
    <w:tblPr/>
  </w:style>
  <w:style w:type="numbering" w:styleId="984">
    <w:name w:val="Нет списка"/>
    <w:next w:val="984"/>
    <w:link w:val="977"/>
    <w:uiPriority w:val="99"/>
    <w:semiHidden/>
    <w:unhideWhenUsed/>
  </w:style>
  <w:style w:type="character" w:styleId="985">
    <w:name w:val="Основной шрифт абзаца6"/>
    <w:next w:val="985"/>
    <w:link w:val="977"/>
  </w:style>
  <w:style w:type="character" w:styleId="986">
    <w:name w:val="Основной шрифт абзаца5"/>
    <w:next w:val="986"/>
    <w:link w:val="977"/>
  </w:style>
  <w:style w:type="character" w:styleId="987">
    <w:name w:val="Основной шрифт абзаца4"/>
    <w:next w:val="987"/>
    <w:link w:val="977"/>
  </w:style>
  <w:style w:type="character" w:styleId="988">
    <w:name w:val="Absatz-Standardschriftart"/>
    <w:next w:val="988"/>
    <w:link w:val="977"/>
  </w:style>
  <w:style w:type="character" w:styleId="989">
    <w:name w:val="WW-Absatz-Standardschriftart"/>
    <w:next w:val="989"/>
    <w:link w:val="977"/>
  </w:style>
  <w:style w:type="character" w:styleId="990">
    <w:name w:val="Основной шрифт абзаца3"/>
    <w:next w:val="990"/>
    <w:link w:val="977"/>
  </w:style>
  <w:style w:type="character" w:styleId="991">
    <w:name w:val="WW-Absatz-Standardschriftart1"/>
    <w:next w:val="991"/>
    <w:link w:val="977"/>
  </w:style>
  <w:style w:type="character" w:styleId="992">
    <w:name w:val="Основной шрифт абзаца2"/>
    <w:next w:val="992"/>
    <w:link w:val="977"/>
  </w:style>
  <w:style w:type="character" w:styleId="993">
    <w:name w:val="WW-Absatz-Standardschriftart11"/>
    <w:next w:val="993"/>
    <w:link w:val="977"/>
  </w:style>
  <w:style w:type="character" w:styleId="994">
    <w:name w:val="Основной шрифт абзаца1"/>
    <w:next w:val="994"/>
    <w:link w:val="977"/>
  </w:style>
  <w:style w:type="character" w:styleId="995">
    <w:name w:val="Îñíîâíîé øðèôò"/>
    <w:next w:val="995"/>
    <w:link w:val="977"/>
  </w:style>
  <w:style w:type="character" w:styleId="996">
    <w:name w:val="Гиперссылка"/>
    <w:next w:val="996"/>
    <w:link w:val="977"/>
    <w:uiPriority w:val="99"/>
    <w:semiHidden/>
    <w:rPr>
      <w:color w:val="0000ff"/>
      <w:u w:val="single"/>
    </w:rPr>
  </w:style>
  <w:style w:type="character" w:styleId="997">
    <w:name w:val="Просмотренная гиперссылка"/>
    <w:next w:val="997"/>
    <w:link w:val="977"/>
    <w:semiHidden/>
    <w:rPr>
      <w:color w:val="800080"/>
      <w:u w:val="single"/>
    </w:rPr>
  </w:style>
  <w:style w:type="paragraph" w:styleId="998">
    <w:name w:val="Заголовок"/>
    <w:basedOn w:val="977"/>
    <w:next w:val="999"/>
    <w:link w:val="977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999">
    <w:name w:val="Основной текст"/>
    <w:basedOn w:val="977"/>
    <w:next w:val="999"/>
    <w:link w:val="977"/>
    <w:semiHidden/>
    <w:rPr>
      <w:sz w:val="28"/>
    </w:rPr>
  </w:style>
  <w:style w:type="paragraph" w:styleId="1000">
    <w:name w:val="Список"/>
    <w:basedOn w:val="999"/>
    <w:next w:val="1000"/>
    <w:link w:val="977"/>
    <w:semiHidden/>
    <w:rPr>
      <w:rFonts w:ascii="Arial" w:hAnsi="Arial" w:cs="Tahoma"/>
    </w:rPr>
  </w:style>
  <w:style w:type="paragraph" w:styleId="1001">
    <w:name w:val="Название6"/>
    <w:basedOn w:val="977"/>
    <w:next w:val="1001"/>
    <w:link w:val="97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02">
    <w:name w:val="Указатель6"/>
    <w:basedOn w:val="977"/>
    <w:next w:val="1002"/>
    <w:link w:val="977"/>
    <w:pPr>
      <w:suppressLineNumbers/>
    </w:pPr>
    <w:rPr>
      <w:rFonts w:ascii="Arial" w:hAnsi="Arial" w:cs="Tahoma"/>
    </w:rPr>
  </w:style>
  <w:style w:type="paragraph" w:styleId="1003">
    <w:name w:val="Название5"/>
    <w:basedOn w:val="977"/>
    <w:next w:val="1003"/>
    <w:link w:val="97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04">
    <w:name w:val="Указатель5"/>
    <w:basedOn w:val="977"/>
    <w:next w:val="1004"/>
    <w:link w:val="977"/>
    <w:pPr>
      <w:suppressLineNumbers/>
    </w:pPr>
    <w:rPr>
      <w:rFonts w:ascii="Arial" w:hAnsi="Arial" w:cs="Tahoma"/>
    </w:rPr>
  </w:style>
  <w:style w:type="paragraph" w:styleId="1005">
    <w:name w:val="Название4"/>
    <w:basedOn w:val="977"/>
    <w:next w:val="1005"/>
    <w:link w:val="97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06">
    <w:name w:val="Указатель4"/>
    <w:basedOn w:val="977"/>
    <w:next w:val="1006"/>
    <w:link w:val="977"/>
    <w:pPr>
      <w:suppressLineNumbers/>
    </w:pPr>
    <w:rPr>
      <w:rFonts w:ascii="Arial" w:hAnsi="Arial" w:cs="Tahoma"/>
    </w:rPr>
  </w:style>
  <w:style w:type="paragraph" w:styleId="1007">
    <w:name w:val="Название3"/>
    <w:basedOn w:val="977"/>
    <w:next w:val="1007"/>
    <w:link w:val="97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08">
    <w:name w:val="Указатель3"/>
    <w:basedOn w:val="977"/>
    <w:next w:val="1008"/>
    <w:link w:val="977"/>
    <w:pPr>
      <w:suppressLineNumbers/>
    </w:pPr>
    <w:rPr>
      <w:rFonts w:ascii="Arial" w:hAnsi="Arial" w:cs="Tahoma"/>
    </w:rPr>
  </w:style>
  <w:style w:type="paragraph" w:styleId="1009">
    <w:name w:val="Название2"/>
    <w:basedOn w:val="977"/>
    <w:next w:val="1009"/>
    <w:link w:val="97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10">
    <w:name w:val="Указатель2"/>
    <w:basedOn w:val="977"/>
    <w:next w:val="1010"/>
    <w:link w:val="977"/>
    <w:pPr>
      <w:suppressLineNumbers/>
    </w:pPr>
    <w:rPr>
      <w:rFonts w:ascii="Arial" w:hAnsi="Arial" w:cs="Tahoma"/>
    </w:rPr>
  </w:style>
  <w:style w:type="paragraph" w:styleId="1011">
    <w:name w:val="Название1"/>
    <w:basedOn w:val="977"/>
    <w:next w:val="1011"/>
    <w:link w:val="977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12">
    <w:name w:val="Указатель1"/>
    <w:basedOn w:val="977"/>
    <w:next w:val="1012"/>
    <w:link w:val="977"/>
    <w:pPr>
      <w:suppressLineNumbers/>
    </w:pPr>
    <w:rPr>
      <w:rFonts w:ascii="Arial" w:hAnsi="Arial" w:cs="Tahoma"/>
    </w:rPr>
  </w:style>
  <w:style w:type="paragraph" w:styleId="1013">
    <w:name w:val="Верхний колонтитул"/>
    <w:basedOn w:val="977"/>
    <w:next w:val="1013"/>
    <w:link w:val="1020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14">
    <w:name w:val="Нижний колонтитул"/>
    <w:basedOn w:val="977"/>
    <w:next w:val="1014"/>
    <w:link w:val="1021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15">
    <w:name w:val="Текст выноски"/>
    <w:basedOn w:val="977"/>
    <w:next w:val="1015"/>
    <w:link w:val="977"/>
    <w:rPr>
      <w:rFonts w:ascii="Tahoma" w:hAnsi="Tahoma" w:cs="Tahoma"/>
      <w:sz w:val="16"/>
      <w:szCs w:val="16"/>
    </w:rPr>
  </w:style>
  <w:style w:type="paragraph" w:styleId="1016">
    <w:name w:val="Содержимое таблицы"/>
    <w:basedOn w:val="977"/>
    <w:next w:val="1016"/>
    <w:link w:val="977"/>
    <w:pPr>
      <w:suppressLineNumbers/>
    </w:pPr>
  </w:style>
  <w:style w:type="paragraph" w:styleId="1017">
    <w:name w:val="Заголовок таблицы"/>
    <w:basedOn w:val="1016"/>
    <w:next w:val="1017"/>
    <w:link w:val="977"/>
    <w:pPr>
      <w:jc w:val="center"/>
      <w:suppressLineNumbers/>
    </w:pPr>
    <w:rPr>
      <w:b/>
      <w:bCs/>
    </w:rPr>
  </w:style>
  <w:style w:type="paragraph" w:styleId="1018">
    <w:name w:val="Содержимое врезки"/>
    <w:basedOn w:val="999"/>
    <w:next w:val="1018"/>
    <w:link w:val="977"/>
  </w:style>
  <w:style w:type="table" w:styleId="1019">
    <w:name w:val="Сетка таблицы"/>
    <w:basedOn w:val="983"/>
    <w:next w:val="1019"/>
    <w:link w:val="977"/>
    <w:tblPr/>
  </w:style>
  <w:style w:type="character" w:styleId="1020">
    <w:name w:val="Верхний колонтитул Знак"/>
    <w:next w:val="1020"/>
    <w:link w:val="1013"/>
    <w:rPr>
      <w:lang w:eastAsia="ar-SA"/>
    </w:rPr>
  </w:style>
  <w:style w:type="character" w:styleId="1021">
    <w:name w:val="Нижний колонтитул Знак"/>
    <w:next w:val="1021"/>
    <w:link w:val="1014"/>
    <w:rPr>
      <w:lang w:eastAsia="ar-SA"/>
    </w:rPr>
  </w:style>
  <w:style w:type="character" w:styleId="1022">
    <w:name w:val="Номер страницы"/>
    <w:basedOn w:val="982"/>
    <w:next w:val="1022"/>
    <w:link w:val="977"/>
  </w:style>
  <w:style w:type="character" w:styleId="1023">
    <w:name w:val="Основной текст + 16,5 pt2,Курсив1,Основной текст + 10"/>
    <w:next w:val="1023"/>
    <w:link w:val="977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24">
    <w:name w:val="Основной текст (3)_"/>
    <w:next w:val="1024"/>
    <w:link w:val="1025"/>
    <w:rPr>
      <w:sz w:val="22"/>
      <w:szCs w:val="22"/>
      <w:shd w:val="clear" w:color="auto" w:fill="ffffff"/>
    </w:rPr>
  </w:style>
  <w:style w:type="paragraph" w:styleId="1025">
    <w:name w:val="Основной текст (3)"/>
    <w:basedOn w:val="977"/>
    <w:next w:val="1025"/>
    <w:link w:val="1024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26">
    <w:name w:val="Без интервала"/>
    <w:next w:val="1026"/>
    <w:link w:val="97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27">
    <w:name w:val="Font Style13"/>
    <w:next w:val="1027"/>
    <w:link w:val="977"/>
    <w:rPr>
      <w:rFonts w:ascii="Times New Roman" w:hAnsi="Times New Roman" w:cs="Times New Roman"/>
      <w:sz w:val="26"/>
      <w:szCs w:val="26"/>
    </w:rPr>
  </w:style>
  <w:style w:type="paragraph" w:styleId="1028">
    <w:name w:val="Обычный (веб)"/>
    <w:basedOn w:val="977"/>
    <w:next w:val="1028"/>
    <w:link w:val="977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29">
    <w:name w:val="apple-converted-space"/>
    <w:next w:val="1029"/>
    <w:link w:val="977"/>
  </w:style>
  <w:style w:type="character" w:styleId="1030">
    <w:name w:val="Font Style18"/>
    <w:next w:val="1030"/>
    <w:link w:val="977"/>
    <w:uiPriority w:val="99"/>
    <w:rPr>
      <w:rFonts w:ascii="Times New Roman" w:hAnsi="Times New Roman" w:cs="Times New Roman"/>
      <w:sz w:val="26"/>
      <w:szCs w:val="26"/>
    </w:rPr>
  </w:style>
  <w:style w:type="paragraph" w:styleId="1031">
    <w:name w:val="Основной текст с отступом"/>
    <w:basedOn w:val="977"/>
    <w:next w:val="1031"/>
    <w:link w:val="1032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32">
    <w:name w:val="Основной текст с отступом Знак"/>
    <w:next w:val="1032"/>
    <w:link w:val="1031"/>
    <w:uiPriority w:val="99"/>
    <w:rPr>
      <w:color w:val="000000"/>
      <w:sz w:val="28"/>
      <w:szCs w:val="28"/>
      <w:lang w:eastAsia="ar-SA"/>
    </w:rPr>
  </w:style>
  <w:style w:type="paragraph" w:styleId="1033">
    <w:name w:val="ConsPlusNormal"/>
    <w:next w:val="1033"/>
    <w:link w:val="103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34">
    <w:name w:val="ConsPlusNormal Знак"/>
    <w:next w:val="1034"/>
    <w:link w:val="1033"/>
    <w:rPr>
      <w:rFonts w:ascii="Arial" w:hAnsi="Arial" w:cs="Arial"/>
      <w:lang w:val="ru-RU" w:eastAsia="ru-RU" w:bidi="ar-SA"/>
    </w:rPr>
  </w:style>
  <w:style w:type="paragraph" w:styleId="1035">
    <w:name w:val="Основной текст с отступом 2"/>
    <w:basedOn w:val="977"/>
    <w:next w:val="1035"/>
    <w:link w:val="1036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36">
    <w:name w:val="Основной текст с отступом 2 Знак"/>
    <w:next w:val="1036"/>
    <w:link w:val="1035"/>
    <w:uiPriority w:val="99"/>
    <w:rPr>
      <w:color w:val="000000"/>
      <w:sz w:val="26"/>
      <w:szCs w:val="26"/>
      <w:lang w:eastAsia="ar-SA"/>
    </w:rPr>
  </w:style>
  <w:style w:type="character" w:styleId="1037">
    <w:name w:val="Знак примечания"/>
    <w:next w:val="1037"/>
    <w:link w:val="977"/>
    <w:uiPriority w:val="99"/>
    <w:semiHidden/>
    <w:unhideWhenUsed/>
    <w:rPr>
      <w:sz w:val="16"/>
      <w:szCs w:val="16"/>
    </w:rPr>
  </w:style>
  <w:style w:type="paragraph" w:styleId="1038">
    <w:name w:val="Текст примечания"/>
    <w:basedOn w:val="977"/>
    <w:next w:val="1038"/>
    <w:link w:val="1039"/>
    <w:uiPriority w:val="99"/>
    <w:semiHidden/>
    <w:unhideWhenUsed/>
  </w:style>
  <w:style w:type="character" w:styleId="1039">
    <w:name w:val="Текст примечания Знак"/>
    <w:next w:val="1039"/>
    <w:link w:val="1038"/>
    <w:uiPriority w:val="99"/>
    <w:semiHidden/>
    <w:rPr>
      <w:lang w:eastAsia="ar-SA"/>
    </w:rPr>
  </w:style>
  <w:style w:type="paragraph" w:styleId="1040">
    <w:name w:val="Тема примечания"/>
    <w:basedOn w:val="1038"/>
    <w:next w:val="1038"/>
    <w:link w:val="1041"/>
    <w:uiPriority w:val="99"/>
    <w:semiHidden/>
    <w:unhideWhenUsed/>
    <w:rPr>
      <w:b/>
      <w:bCs/>
    </w:rPr>
  </w:style>
  <w:style w:type="character" w:styleId="1041">
    <w:name w:val="Тема примечания Знак"/>
    <w:next w:val="1041"/>
    <w:link w:val="1040"/>
    <w:uiPriority w:val="99"/>
    <w:semiHidden/>
    <w:rPr>
      <w:b/>
      <w:bCs/>
      <w:lang w:eastAsia="ar-SA"/>
    </w:rPr>
  </w:style>
  <w:style w:type="character" w:styleId="1042">
    <w:name w:val="Строгий"/>
    <w:next w:val="1042"/>
    <w:link w:val="977"/>
    <w:uiPriority w:val="22"/>
    <w:qFormat/>
    <w:rPr>
      <w:b/>
      <w:bCs/>
    </w:rPr>
  </w:style>
  <w:style w:type="character" w:styleId="1043">
    <w:name w:val="Заголовок 2 Знак"/>
    <w:next w:val="1043"/>
    <w:link w:val="979"/>
    <w:uiPriority w:val="9"/>
    <w:rPr>
      <w:b/>
      <w:bCs/>
      <w:sz w:val="36"/>
      <w:szCs w:val="36"/>
    </w:rPr>
  </w:style>
  <w:style w:type="paragraph" w:styleId="1044">
    <w:name w:val="paragraph"/>
    <w:basedOn w:val="977"/>
    <w:next w:val="1044"/>
    <w:link w:val="97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45">
    <w:name w:val="Заголовок 1 Знак"/>
    <w:next w:val="1045"/>
    <w:link w:val="978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46">
    <w:name w:val="b-article__text"/>
    <w:basedOn w:val="977"/>
    <w:next w:val="1046"/>
    <w:link w:val="97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47">
    <w:name w:val="Заголовок 4 Знак"/>
    <w:next w:val="1047"/>
    <w:link w:val="981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48">
    <w:name w:val="Заголовок 3 Знак"/>
    <w:next w:val="1048"/>
    <w:link w:val="980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49">
    <w:name w:val="Абзац списка"/>
    <w:basedOn w:val="977"/>
    <w:next w:val="1049"/>
    <w:link w:val="977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50">
    <w:name w:val="Header"/>
    <w:next w:val="1050"/>
    <w:link w:val="977"/>
  </w:style>
  <w:style w:type="character" w:styleId="1051">
    <w:name w:val="Title"/>
    <w:next w:val="1051"/>
    <w:link w:val="977"/>
  </w:style>
  <w:style w:type="character" w:styleId="1052">
    <w:name w:val="dashed"/>
    <w:next w:val="1052"/>
    <w:link w:val="977"/>
  </w:style>
  <w:style w:type="character" w:styleId="1053">
    <w:name w:val="buttons"/>
    <w:next w:val="1053"/>
    <w:link w:val="977"/>
  </w:style>
  <w:style w:type="paragraph" w:styleId="1054">
    <w:name w:val="float"/>
    <w:basedOn w:val="977"/>
    <w:next w:val="1054"/>
    <w:link w:val="97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55">
    <w:name w:val="Caption"/>
    <w:next w:val="1055"/>
    <w:link w:val="977"/>
  </w:style>
  <w:style w:type="character" w:styleId="1056">
    <w:name w:val="time"/>
    <w:next w:val="1056"/>
    <w:link w:val="977"/>
  </w:style>
  <w:style w:type="character" w:styleId="1057">
    <w:name w:val="i18n"/>
    <w:next w:val="1057"/>
    <w:link w:val="977"/>
  </w:style>
  <w:style w:type="paragraph" w:styleId="1058">
    <w:name w:val="z-Начало формы"/>
    <w:basedOn w:val="977"/>
    <w:next w:val="977"/>
    <w:link w:val="1059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59">
    <w:name w:val="z-Начало формы Знак"/>
    <w:next w:val="1059"/>
    <w:link w:val="1058"/>
    <w:uiPriority w:val="99"/>
    <w:semiHidden/>
    <w:rPr>
      <w:rFonts w:ascii="Arial" w:hAnsi="Arial" w:cs="Arial"/>
      <w:vanish/>
      <w:sz w:val="16"/>
      <w:szCs w:val="16"/>
    </w:rPr>
  </w:style>
  <w:style w:type="paragraph" w:styleId="1060">
    <w:name w:val="z-Конец формы"/>
    <w:basedOn w:val="977"/>
    <w:next w:val="977"/>
    <w:link w:val="1061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61">
    <w:name w:val="z-Конец формы Знак"/>
    <w:next w:val="1061"/>
    <w:link w:val="1060"/>
    <w:uiPriority w:val="99"/>
    <w:semiHidden/>
    <w:rPr>
      <w:rFonts w:ascii="Arial" w:hAnsi="Arial" w:cs="Arial"/>
      <w:vanish/>
      <w:sz w:val="16"/>
      <w:szCs w:val="16"/>
    </w:rPr>
  </w:style>
  <w:style w:type="character" w:styleId="1062">
    <w:name w:val="message-time"/>
    <w:next w:val="1062"/>
    <w:link w:val="977"/>
  </w:style>
  <w:style w:type="character" w:styleId="1063" w:default="1">
    <w:name w:val="Default Paragraph Font"/>
    <w:uiPriority w:val="1"/>
    <w:semiHidden/>
    <w:unhideWhenUsed/>
  </w:style>
  <w:style w:type="numbering" w:styleId="1064" w:default="1">
    <w:name w:val="No List"/>
    <w:uiPriority w:val="99"/>
    <w:semiHidden/>
    <w:unhideWhenUsed/>
  </w:style>
  <w:style w:type="table" w:styleId="10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revision>41</cp:revision>
  <dcterms:created xsi:type="dcterms:W3CDTF">2023-12-05T08:05:00Z</dcterms:created>
  <dcterms:modified xsi:type="dcterms:W3CDTF">2024-08-20T09:51:28Z</dcterms:modified>
  <cp:version>917504</cp:version>
</cp:coreProperties>
</file>